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Lato" w:cs="Lato" w:eastAsia="Lato" w:hAnsi="Lato"/>
          <w:b w:val="1"/>
          <w:sz w:val="34"/>
          <w:szCs w:val="34"/>
        </w:rPr>
      </w:pPr>
      <w:r w:rsidDel="00000000" w:rsidR="00000000" w:rsidRPr="00000000">
        <w:rPr>
          <w:rFonts w:ascii="Lato" w:cs="Lato" w:eastAsia="Lato" w:hAnsi="Lato"/>
          <w:b w:val="1"/>
          <w:sz w:val="34"/>
          <w:szCs w:val="34"/>
          <w:rtl w:val="0"/>
        </w:rPr>
        <w:t xml:space="preserve">WASN ‘23 Mental Health Session</w:t>
      </w:r>
    </w:p>
    <w:p w:rsidR="00000000" w:rsidDel="00000000" w:rsidP="00000000" w:rsidRDefault="00000000" w:rsidRPr="00000000" w14:paraId="00000002">
      <w:pPr>
        <w:jc w:val="center"/>
        <w:rPr>
          <w:rFonts w:ascii="Lato" w:cs="Lato" w:eastAsia="Lato" w:hAnsi="Lato"/>
          <w:b w:val="1"/>
          <w:sz w:val="34"/>
          <w:szCs w:val="34"/>
        </w:rPr>
      </w:pPr>
      <w:r w:rsidDel="00000000" w:rsidR="00000000" w:rsidRPr="00000000">
        <w:rPr>
          <w:rFonts w:ascii="Lato" w:cs="Lato" w:eastAsia="Lato" w:hAnsi="Lato"/>
          <w:b w:val="1"/>
          <w:sz w:val="34"/>
          <w:szCs w:val="34"/>
          <w:rtl w:val="0"/>
        </w:rPr>
        <w:t xml:space="preserve">Additional Resources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Frameworks Institute </w:t>
      </w:r>
      <w:hyperlink r:id="rId6">
        <w:r w:rsidDel="00000000" w:rsidR="00000000" w:rsidRPr="00000000">
          <w:rPr>
            <w:color w:val="1155cc"/>
            <w:sz w:val="30"/>
            <w:szCs w:val="30"/>
            <w:u w:val="single"/>
            <w:rtl w:val="0"/>
          </w:rPr>
          <w:t xml:space="preserve">Levelness of a Table Video</w:t>
        </w:r>
      </w:hyperlink>
      <w:r w:rsidDel="00000000" w:rsidR="00000000" w:rsidRPr="00000000">
        <w:rPr>
          <w:sz w:val="30"/>
          <w:szCs w:val="3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WISE </w:t>
      </w:r>
      <w:hyperlink r:id="rId7">
        <w:r w:rsidDel="00000000" w:rsidR="00000000" w:rsidRPr="00000000">
          <w:rPr>
            <w:color w:val="1155cc"/>
            <w:sz w:val="30"/>
            <w:szCs w:val="30"/>
            <w:u w:val="single"/>
            <w:rtl w:val="0"/>
          </w:rPr>
          <w:t xml:space="preserve">Safe Person 7 Promises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DPI </w:t>
      </w:r>
      <w:hyperlink r:id="rId8">
        <w:r w:rsidDel="00000000" w:rsidR="00000000" w:rsidRPr="00000000">
          <w:rPr>
            <w:color w:val="1155cc"/>
            <w:sz w:val="30"/>
            <w:szCs w:val="30"/>
            <w:u w:val="single"/>
            <w:rtl w:val="0"/>
          </w:rPr>
          <w:t xml:space="preserve">Mental Health Literacy &amp; Stigma Reduction Toolkit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DPI </w:t>
      </w:r>
      <w:hyperlink r:id="rId9">
        <w:r w:rsidDel="00000000" w:rsidR="00000000" w:rsidRPr="00000000">
          <w:rPr>
            <w:color w:val="1155cc"/>
            <w:sz w:val="30"/>
            <w:szCs w:val="30"/>
            <w:u w:val="single"/>
            <w:rtl w:val="0"/>
          </w:rPr>
          <w:t xml:space="preserve">Trauma Sensitive School Online Learning System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WISE </w:t>
      </w:r>
      <w:hyperlink r:id="rId10">
        <w:r w:rsidDel="00000000" w:rsidR="00000000" w:rsidRPr="00000000">
          <w:rPr>
            <w:color w:val="1155cc"/>
            <w:sz w:val="30"/>
            <w:szCs w:val="30"/>
            <w:u w:val="single"/>
            <w:rtl w:val="0"/>
          </w:rPr>
          <w:t xml:space="preserve">Compassion Resilience Toolkit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</w:rPr>
        <w:drawing>
          <wp:inline distB="114300" distT="114300" distL="114300" distR="114300">
            <wp:extent cx="1066800" cy="857250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572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0"/>
          <w:szCs w:val="30"/>
        </w:rPr>
        <w:drawing>
          <wp:inline distB="114300" distT="114300" distL="114300" distR="114300">
            <wp:extent cx="1924050" cy="10668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066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0"/>
          <w:szCs w:val="30"/>
        </w:rPr>
        <w:drawing>
          <wp:inline distB="114300" distT="114300" distL="114300" distR="114300">
            <wp:extent cx="2114550" cy="100965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009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Jess Frain, MSW</w:t>
      </w:r>
    </w:p>
    <w:p w:rsidR="00000000" w:rsidDel="00000000" w:rsidP="00000000" w:rsidRDefault="00000000" w:rsidRPr="00000000" w14:paraId="00000010">
      <w:pPr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School Mental Health Consultant</w:t>
      </w:r>
    </w:p>
    <w:p w:rsidR="00000000" w:rsidDel="00000000" w:rsidP="00000000" w:rsidRDefault="00000000" w:rsidRPr="00000000" w14:paraId="00000011">
      <w:pPr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Student Services/Prevention &amp; Wellness</w:t>
      </w:r>
    </w:p>
    <w:p w:rsidR="00000000" w:rsidDel="00000000" w:rsidP="00000000" w:rsidRDefault="00000000" w:rsidRPr="00000000" w14:paraId="00000012">
      <w:pPr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608-266-0986</w:t>
      </w:r>
    </w:p>
    <w:p w:rsidR="00000000" w:rsidDel="00000000" w:rsidP="00000000" w:rsidRDefault="00000000" w:rsidRPr="00000000" w14:paraId="00000013">
      <w:pPr>
        <w:jc w:val="center"/>
        <w:rPr>
          <w:sz w:val="30"/>
          <w:szCs w:val="30"/>
        </w:rPr>
      </w:pPr>
      <w:hyperlink r:id="rId14">
        <w:r w:rsidDel="00000000" w:rsidR="00000000" w:rsidRPr="00000000">
          <w:rPr>
            <w:color w:val="1155cc"/>
            <w:sz w:val="30"/>
            <w:szCs w:val="30"/>
            <w:u w:val="single"/>
            <w:rtl w:val="0"/>
          </w:rPr>
          <w:t xml:space="preserve">jessica.frain@dpi.wi.gov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Monica Caldwell, MSW, LCSW</w:t>
      </w:r>
    </w:p>
    <w:p w:rsidR="00000000" w:rsidDel="00000000" w:rsidP="00000000" w:rsidRDefault="00000000" w:rsidRPr="00000000" w14:paraId="00000017">
      <w:pPr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School Mental Health Consultant</w:t>
      </w:r>
    </w:p>
    <w:p w:rsidR="00000000" w:rsidDel="00000000" w:rsidP="00000000" w:rsidRDefault="00000000" w:rsidRPr="00000000" w14:paraId="00000018">
      <w:pPr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Student Services/Prevention &amp; Wellness</w:t>
      </w:r>
    </w:p>
    <w:p w:rsidR="00000000" w:rsidDel="00000000" w:rsidP="00000000" w:rsidRDefault="00000000" w:rsidRPr="00000000" w14:paraId="00000019">
      <w:pPr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608-266-3862</w:t>
      </w:r>
    </w:p>
    <w:p w:rsidR="00000000" w:rsidDel="00000000" w:rsidP="00000000" w:rsidRDefault="00000000" w:rsidRPr="00000000" w14:paraId="0000001A">
      <w:pPr>
        <w:jc w:val="center"/>
        <w:rPr>
          <w:sz w:val="30"/>
          <w:szCs w:val="30"/>
        </w:rPr>
      </w:pPr>
      <w:hyperlink r:id="rId15">
        <w:r w:rsidDel="00000000" w:rsidR="00000000" w:rsidRPr="00000000">
          <w:rPr>
            <w:color w:val="1155cc"/>
            <w:sz w:val="30"/>
            <w:szCs w:val="30"/>
            <w:u w:val="single"/>
            <w:rtl w:val="0"/>
          </w:rPr>
          <w:t xml:space="preserve">monica.caldwell@dpi.wi.gov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png"/><Relationship Id="rId10" Type="http://schemas.openxmlformats.org/officeDocument/2006/relationships/hyperlink" Target="https://eliminatestigma.org/compassion-resilience-toolkit/" TargetMode="External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pi.wi.gov/sspw/mental-health/trauma/modules" TargetMode="External"/><Relationship Id="rId15" Type="http://schemas.openxmlformats.org/officeDocument/2006/relationships/hyperlink" Target="mailto:monica.caldwell@dpi.wi.gov" TargetMode="External"/><Relationship Id="rId14" Type="http://schemas.openxmlformats.org/officeDocument/2006/relationships/hyperlink" Target="mailto:jessica.frain@dpi.wi.gov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frameworksinstitute.org/toolkit/talking-about-child-mental-health-in-tennessee/" TargetMode="External"/><Relationship Id="rId7" Type="http://schemas.openxmlformats.org/officeDocument/2006/relationships/hyperlink" Target="https://eliminatestigma.org/safeperson/" TargetMode="External"/><Relationship Id="rId8" Type="http://schemas.openxmlformats.org/officeDocument/2006/relationships/hyperlink" Target="https://dpi.wi.gov/sspw/mental-health/framework/universal-practices/literacy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